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b/>
          <w:color w:val="1F4E79"/>
          <w:sz w:val="30"/>
        </w:rPr>
        <w:t>ZMLUVA O DODANÍ, IMPLEMENTÁCII A PREVÁDZKE</w:t>
      </w:r>
    </w:p>
    <w:p>
      <w:pPr>
        <w:spacing w:after="40"/>
        <w:jc w:val="center"/>
      </w:pPr>
      <w:r>
        <w:rPr>
          <w:rFonts w:ascii="Calibri" w:hAnsi="Calibri"/>
          <w:b/>
          <w:color w:val="1F4E79"/>
          <w:sz w:val="26"/>
        </w:rPr>
        <w:t>INFORMAČNÉHO SYSTÉMU ERP, WEBU A E-SHOPU</w:t>
      </w:r>
    </w:p>
    <w:p>
      <w:pPr>
        <w:spacing w:after="100"/>
        <w:jc w:val="center"/>
      </w:pPr>
      <w:r>
        <w:rPr>
          <w:rFonts w:ascii="Calibri" w:hAnsi="Calibri"/>
          <w:b/>
          <w:color w:val="1F1F1F"/>
          <w:sz w:val="21"/>
        </w:rPr>
        <w:t>č. [DOPLNÍ SA]</w:t>
      </w:r>
    </w:p>
    <w:p>
      <w:pPr>
        <w:spacing w:after="160"/>
        <w:jc w:val="center"/>
      </w:pPr>
      <w:r>
        <w:rPr>
          <w:rFonts w:ascii="Calibri" w:hAnsi="Calibri"/>
          <w:b w:val="0"/>
          <w:color w:val="1F1F1F"/>
          <w:sz w:val="18"/>
        </w:rPr>
        <w:t>uzatvorená podľa § 269 ods. 2 Obchodného zákonníka, s primeraným použitím ustanovení o kúpe pre hardvér a ustanovení Autorského zákona o licencii</w:t>
      </w:r>
    </w:p>
    <w:tbl>
      <w:tblPr>
        <w:tblStyle w:val="TableGrid"/>
        <w:tblW w:type="dxa" w:w="9809"/>
        <w:jc w:val="center"/>
        <w:tblLayout w:type="fixed"/>
        <w:tblLook w:firstColumn="1" w:firstRow="1" w:lastColumn="0" w:lastRow="0" w:noHBand="0" w:noVBand="1" w:val="04A0"/>
      </w:tblPr>
      <w:tblGrid>
        <w:gridCol w:w="4904"/>
        <w:gridCol w:w="4904"/>
      </w:tblGrid>
      <w:tr>
        <w:trPr>
          <w:cantSplit/>
        </w:trPr>
        <w:tc>
          <w:tcPr>
            <w:tcW w:type="dxa" w:w="4904"/>
            <w:shd w:fill="1F4E79"/>
            <w:vAlign w:val="center"/>
          </w:tcPr>
          <w:p>
            <w:pPr>
              <w:jc w:val="center"/>
            </w:pPr>
            <w:r>
              <w:rPr>
                <w:rFonts w:ascii="Calibri" w:hAnsi="Calibri"/>
                <w:b/>
                <w:color w:val="FFFFFF"/>
                <w:sz w:val="18"/>
              </w:rPr>
              <w:t>OBJEDNÁVATEĽ</w:t>
            </w:r>
          </w:p>
        </w:tc>
        <w:tc>
          <w:tcPr>
            <w:tcW w:type="dxa" w:w="4904"/>
            <w:shd w:fill="1F4E79"/>
            <w:vAlign w:val="center"/>
          </w:tcPr>
          <w:p>
            <w:pPr>
              <w:jc w:val="center"/>
            </w:pPr>
            <w:r>
              <w:rPr>
                <w:rFonts w:ascii="Calibri" w:hAnsi="Calibri"/>
                <w:b/>
                <w:color w:val="FFFFFF"/>
                <w:sz w:val="18"/>
              </w:rPr>
              <w:t>DODÁVATEĽ</w:t>
            </w:r>
          </w:p>
        </w:tc>
      </w:tr>
      <w:tr>
        <w:trPr>
          <w:cantSplit/>
        </w:trPr>
        <w:tc>
          <w:tcPr>
            <w:tcW w:type="dxa" w:w="4904"/>
            <w:vAlign w:val="top"/>
            <w:tcMar>
              <w:top w:w="100" w:type="dxa"/>
              <w:start w:w="120" w:type="dxa"/>
              <w:bottom w:w="100" w:type="dxa"/>
              <w:end w:w="120" w:type="dxa"/>
            </w:tcMar>
          </w:tcPr>
          <w:p>
            <w:pPr>
              <w:spacing w:after="0" w:line="245" w:lineRule="auto"/>
            </w:pPr>
            <w:r>
              <w:rPr>
                <w:rFonts w:ascii="Calibri" w:hAnsi="Calibri"/>
                <w:b w:val="0"/>
                <w:color w:val="1F1F1F"/>
                <w:sz w:val="18"/>
              </w:rPr>
              <w:t>Obchodné meno: LIANA GOLIAŠ s.r.o.</w:t>
              <w:br/>
              <w:t>Sídlo: [DOPLNÍ SA]</w:t>
              <w:br/>
              <w:t>IČO: [DOPLNÍ SA]</w:t>
              <w:br/>
              <w:t>DIČ/IČ DPH: [DOPLNÍ SA]</w:t>
              <w:br/>
              <w:t>Zastúpený: [DOPLNÍ SA]</w:t>
              <w:br/>
              <w:t>IBAN: [DOPLNÍ SA]</w:t>
              <w:br/>
              <w:t>E-mail: [DOPLNÍ SA]</w:t>
            </w:r>
          </w:p>
        </w:tc>
        <w:tc>
          <w:tcPr>
            <w:tcW w:type="dxa" w:w="4904"/>
            <w:vAlign w:val="top"/>
            <w:tcMar>
              <w:top w:w="100" w:type="dxa"/>
              <w:start w:w="120" w:type="dxa"/>
              <w:bottom w:w="100" w:type="dxa"/>
              <w:end w:w="120" w:type="dxa"/>
            </w:tcMar>
          </w:tcPr>
          <w:p>
            <w:pPr>
              <w:spacing w:after="0" w:line="245" w:lineRule="auto"/>
            </w:pPr>
            <w:r>
              <w:rPr>
                <w:rFonts w:ascii="Calibri" w:hAnsi="Calibri"/>
                <w:b w:val="0"/>
                <w:color w:val="1F1F1F"/>
                <w:sz w:val="18"/>
              </w:rPr>
              <w:t>Obchodné meno: [DOPLNÍ SA]</w:t>
              <w:br/>
              <w:t>Sídlo: [DOPLNÍ SA]</w:t>
              <w:br/>
              <w:t>IČO: [DOPLNÍ SA]</w:t>
              <w:br/>
              <w:t>DIČ/IČ DPH: [DOPLNÍ SA]</w:t>
              <w:br/>
              <w:t>Zastúpený: [DOPLNÍ SA]</w:t>
              <w:br/>
              <w:t>IBAN: [DOPLNÍ SA]</w:t>
              <w:br/>
              <w:t>Zápis v registri: [DOPLNÍ SA]</w:t>
              <w:br/>
              <w:t>E-mail: [DOPLNÍ SA]</w:t>
            </w:r>
          </w:p>
        </w:tc>
      </w:tr>
    </w:tbl>
    <w:p>
      <w:pPr>
        <w:spacing w:before="60" w:after="40"/>
        <w:jc w:val="center"/>
      </w:pPr>
      <w:r>
        <w:rPr>
          <w:rFonts w:ascii="Calibri" w:hAnsi="Calibri"/>
          <w:b w:val="0"/>
          <w:color w:val="1F1F1F"/>
          <w:sz w:val="18"/>
        </w:rPr>
        <w:t>(ďalej spolu aj ako „zmluvné strany“)</w:t>
      </w:r>
    </w:p>
    <w:p>
      <w:pPr>
        <w:pStyle w:val="Heading1"/>
        <w:keepNext/>
        <w:pageBreakBefore w:val="0"/>
        <w:jc w:val="center"/>
      </w:pPr>
      <w:r>
        <w:rPr>
          <w:rFonts w:ascii="Calibri" w:hAnsi="Calibri"/>
          <w:b/>
          <w:color w:val="1F4E79"/>
          <w:sz w:val="22"/>
        </w:rPr>
        <w:t>Článok I</w:t>
        <w:br/>
        <w:t>Predmet zmluvy a zmluvné dokumenty</w:t>
      </w:r>
    </w:p>
    <w:p>
      <w:pPr>
        <w:keepLines w:val="0"/>
        <w:spacing w:before="0" w:after="90" w:line="247" w:lineRule="auto"/>
        <w:jc w:val="both"/>
      </w:pPr>
      <w:r>
        <w:rPr>
          <w:rFonts w:ascii="Calibri" w:hAnsi="Calibri"/>
          <w:b w:val="0"/>
          <w:color w:val="1F1F1F"/>
          <w:sz w:val="19"/>
        </w:rPr>
        <w:t>1.1. Táto zmluva sa uzatvára ako výsledok obstarávania zákazky „Dodanie a implementácia ERP, webu a e-shopu pre LIANA“ podľa podmienok výzvy a príslušných pravidiel Strategického plánu SPP 2023 – 2027.</w:t>
      </w:r>
    </w:p>
    <w:p>
      <w:pPr>
        <w:keepLines w:val="0"/>
        <w:spacing w:before="0" w:after="90" w:line="247" w:lineRule="auto"/>
        <w:jc w:val="both"/>
      </w:pPr>
      <w:r>
        <w:rPr>
          <w:rFonts w:ascii="Calibri" w:hAnsi="Calibri"/>
          <w:b w:val="0"/>
          <w:color w:val="1F1F1F"/>
          <w:sz w:val="19"/>
        </w:rPr>
        <w:t>1.2. Neoddeliteľnou súčasťou zmluvy je Príloha č. 1 – vyplnená technická špecifikácia a cenová ponuka úspešného uchádzača (ďalej len „Príloha č. 1“). Záväzné sú požiadavky označené ako „MUST“ alebo „POVINNÉ“. Požiadavky „SHOULD“ alebo „ODPORÚČANÉ“ nie sú povinným predmetom plnenia ani dôvodom na odmietnutie akceptácie.</w:t>
      </w:r>
    </w:p>
    <w:p>
      <w:pPr>
        <w:keepLines w:val="0"/>
        <w:spacing w:before="0" w:after="90" w:line="247" w:lineRule="auto"/>
        <w:jc w:val="both"/>
      </w:pPr>
      <w:r>
        <w:rPr>
          <w:rFonts w:ascii="Calibri" w:hAnsi="Calibri"/>
          <w:b w:val="0"/>
          <w:color w:val="1F1F1F"/>
          <w:sz w:val="19"/>
        </w:rPr>
        <w:t>1.3. Dodávateľ dodá, implementuje, sprevádzkuje a počas 36 mesiacov prevádzkuje a podporuje ERP, web/CMS, e-shop, integrácie, migráciu, školenia, dokumentáciu, hardvér a súvisiace služby v rozsahu Prílohy č. 1 (ďalej len „Riešenie“). Objednávateľ riadne splnené plnenie prevezme a zaplatí dohodnutú cenu.</w:t>
      </w:r>
    </w:p>
    <w:p>
      <w:pPr>
        <w:keepLines w:val="0"/>
        <w:spacing w:before="0" w:after="90" w:line="247" w:lineRule="auto"/>
        <w:jc w:val="both"/>
      </w:pPr>
      <w:r>
        <w:rPr>
          <w:rFonts w:ascii="Calibri" w:hAnsi="Calibri"/>
          <w:b w:val="0"/>
          <w:color w:val="1F1F1F"/>
          <w:sz w:val="19"/>
        </w:rPr>
        <w:t>1.4. Súčasťou ceny sú všetky práce, licencie, komponenty a náklady potrebné na splnenie požiadaviek „MUST“ alebo „POVINNÉ“. Dodávateľ nie je povinný bezodplatne vykonať dodatočnú požiadavku nad tento rozsah, ktorú nebolo možné pri odbornej starostlivosti zistiť z podkladov obstarávania.</w:t>
      </w:r>
    </w:p>
    <w:p>
      <w:pPr>
        <w:keepLines w:val="0"/>
        <w:spacing w:before="0" w:after="90" w:line="247" w:lineRule="auto"/>
        <w:jc w:val="both"/>
      </w:pPr>
      <w:r>
        <w:rPr>
          <w:rFonts w:ascii="Calibri" w:hAnsi="Calibri"/>
          <w:b w:val="0"/>
          <w:color w:val="1F1F1F"/>
          <w:sz w:val="19"/>
        </w:rPr>
        <w:t>1.5. Časť financovanú z nenávratného finančného príspevku (ďalej len „PPA časť“) tvoria všetky jednorazové položky vrátane hardvéru uvedené v Prílohe č. 1. Opakované plnenia, najmä licencie alebo predplatné, hosting, prevádzka a podpora, nie sú financované z nenávratného finančného príspevku a Objednávateľ ich uhrádza z vlastných zdrojov.</w:t>
      </w:r>
    </w:p>
    <w:p>
      <w:pPr>
        <w:keepLines w:val="0"/>
        <w:spacing w:before="0" w:after="90" w:line="247" w:lineRule="auto"/>
        <w:jc w:val="both"/>
      </w:pPr>
      <w:r>
        <w:rPr>
          <w:rFonts w:ascii="Calibri" w:hAnsi="Calibri"/>
          <w:b w:val="0"/>
          <w:color w:val="1F1F1F"/>
          <w:sz w:val="19"/>
        </w:rPr>
        <w:t>1.6. V prípade rozporu má prednosť táto zmluva; vo veciach technického a funkčného rozsahu má prednosť Príloha č. 1. Poznámka Dodávateľa nesmie obmedziť povinnú požiadavku ani zvýšiť vysúťaženú cenu.</w:t>
      </w:r>
    </w:p>
    <w:p>
      <w:pPr>
        <w:pStyle w:val="Heading1"/>
        <w:keepNext/>
        <w:pageBreakBefore w:val="0"/>
        <w:jc w:val="center"/>
      </w:pPr>
      <w:r>
        <w:rPr>
          <w:rFonts w:ascii="Calibri" w:hAnsi="Calibri"/>
          <w:b/>
          <w:color w:val="1F4E79"/>
          <w:sz w:val="22"/>
        </w:rPr>
        <w:t>Článok II</w:t>
        <w:br/>
        <w:t>Začatie, termín a miesto plnenia</w:t>
      </w:r>
    </w:p>
    <w:p>
      <w:pPr>
        <w:keepLines w:val="0"/>
        <w:spacing w:before="0" w:after="90" w:line="247" w:lineRule="auto"/>
        <w:jc w:val="both"/>
      </w:pPr>
      <w:r>
        <w:rPr>
          <w:rFonts w:ascii="Calibri" w:hAnsi="Calibri"/>
          <w:b w:val="0"/>
          <w:color w:val="1F1F1F"/>
          <w:sz w:val="19"/>
        </w:rPr>
        <w:t>2.1. Dodávateľ začne plnenie po doručení písomného pokynu Objednávateľa, ktorý bude vydaný po splnení podmienok financovania projektu. Ak pokyn nebude vydaný do šiestich mesiacov od účinnosti zmluvy, môže od zmluvy odstúpiť ktorákoľvek strana bez nároku na ušlý zisk alebo náklady na nezačaté plnenie.</w:t>
      </w:r>
    </w:p>
    <w:p>
      <w:pPr>
        <w:keepLines w:val="0"/>
        <w:spacing w:before="0" w:after="90" w:line="247" w:lineRule="auto"/>
        <w:jc w:val="both"/>
      </w:pPr>
      <w:r>
        <w:rPr>
          <w:rFonts w:ascii="Calibri" w:hAnsi="Calibri"/>
          <w:b w:val="0"/>
          <w:color w:val="1F1F1F"/>
          <w:sz w:val="19"/>
        </w:rPr>
        <w:t>2.2. Dodávateľ je povinný PPA časť riadne dokončiť, odovzdať a uviesť do stavu spôsobilého na akceptáciu najneskôr do 120 kalendárnych dní od doručenia pokynu podľa bodu 2.1, najneskôr však do 31. januára 2027. Táto lehota je rovnaká pre všetkých uchádzačov.</w:t>
      </w:r>
    </w:p>
    <w:p>
      <w:pPr>
        <w:keepLines w:val="0"/>
        <w:spacing w:before="0" w:after="90" w:line="247" w:lineRule="auto"/>
        <w:jc w:val="both"/>
      </w:pPr>
      <w:r>
        <w:rPr>
          <w:rFonts w:ascii="Calibri" w:hAnsi="Calibri"/>
          <w:b w:val="0"/>
          <w:color w:val="1F1F1F"/>
          <w:sz w:val="19"/>
        </w:rPr>
        <w:t>2.3. Dodávateľ predloží PPA časť na akceptáciu najmenej 10 pracovných dní pred uplynutím lehoty podľa bodu 2.2. Za jej ukončenie sa považuje podpísanie akceptačného protokolu bez otvorenej kritickej vady. Omeškanie spôsobené výlučne tým, že Objednávateľ nerozhodol o akceptácii v lehote podľa bodu 4.2, nie je omeškaním Dodávateľa.</w:t>
      </w:r>
    </w:p>
    <w:p>
      <w:pPr>
        <w:keepLines w:val="0"/>
        <w:spacing w:before="0" w:after="90" w:line="247" w:lineRule="auto"/>
        <w:jc w:val="both"/>
      </w:pPr>
      <w:r>
        <w:rPr>
          <w:rFonts w:ascii="Calibri" w:hAnsi="Calibri"/>
          <w:b w:val="0"/>
          <w:color w:val="1F1F1F"/>
          <w:sz w:val="19"/>
        </w:rPr>
        <w:t>2.4. Produkčná prevádzka a podpora sa poskytujú 36 po sebe nasledujúcich mesiacov odo dňa akceptácie Go-live. Miestom plnenia sú prevádzky a elektronické prostredia Objednávateľa a hostingové lokality uvedené v ponuke.</w:t>
      </w:r>
    </w:p>
    <w:p>
      <w:pPr>
        <w:pStyle w:val="Heading1"/>
        <w:keepNext/>
        <w:pageBreakBefore w:val="0"/>
        <w:jc w:val="center"/>
      </w:pPr>
      <w:r>
        <w:rPr>
          <w:rFonts w:ascii="Calibri" w:hAnsi="Calibri"/>
          <w:b/>
          <w:color w:val="1F4E79"/>
          <w:sz w:val="22"/>
        </w:rPr>
        <w:t>Článok III</w:t>
        <w:br/>
        <w:t>Cena a platobné podmienky</w:t>
      </w:r>
    </w:p>
    <w:p>
      <w:pPr>
        <w:keepLines w:val="0"/>
        <w:spacing w:before="0" w:after="60" w:line="247" w:lineRule="auto"/>
        <w:jc w:val="both"/>
      </w:pPr>
      <w:r>
        <w:rPr>
          <w:rFonts w:ascii="Calibri" w:hAnsi="Calibri"/>
          <w:b w:val="0"/>
          <w:color w:val="1F1F1F"/>
          <w:sz w:val="19"/>
        </w:rPr>
        <w:t>3.1. Cena za celý rozsah plnenia počas 36 mesiacov pozostáva z jednorazových a opakovaných nákladov podľa úspešnej ponuky:</w:t>
      </w:r>
    </w:p>
    <w:tbl>
      <w:tblPr>
        <w:tblStyle w:val="TableGrid"/>
        <w:tblW w:type="dxa" w:w="9809"/>
        <w:jc w:val="center"/>
        <w:tblLayout w:type="fixed"/>
        <w:tblLook w:firstColumn="1" w:firstRow="1" w:lastColumn="0" w:lastRow="0" w:noHBand="0" w:noVBand="1" w:val="04A0"/>
      </w:tblPr>
      <w:tblGrid>
        <w:gridCol w:w="5159"/>
        <w:gridCol w:w="2324"/>
        <w:gridCol w:w="2324"/>
      </w:tblGrid>
      <w:tr>
        <w:trPr>
          <w:cantSplit/>
        </w:trPr>
        <w:tc>
          <w:tcPr>
            <w:tcW w:type="dxa" w:w="5159"/>
            <w:tcMar>
              <w:top w:w="80" w:type="dxa"/>
              <w:start w:w="120" w:type="dxa"/>
              <w:bottom w:w="80" w:type="dxa"/>
              <w:end w:w="120" w:type="dxa"/>
            </w:tcMar>
            <w:vAlign w:val="center"/>
            <w:shd w:fill="1F4E79"/>
          </w:tcPr>
          <w:p>
            <w:pPr>
              <w:spacing w:after="0"/>
              <w:jc w:val="left"/>
            </w:pPr>
            <w:r>
              <w:rPr>
                <w:rFonts w:ascii="Calibri" w:hAnsi="Calibri"/>
                <w:b/>
                <w:color w:val="FFFFFF"/>
                <w:sz w:val="17"/>
              </w:rPr>
              <w:t>Cena</w:t>
            </w:r>
          </w:p>
        </w:tc>
        <w:tc>
          <w:tcPr>
            <w:tcW w:type="dxa" w:w="2324"/>
            <w:tcMar>
              <w:top w:w="80" w:type="dxa"/>
              <w:start w:w="120" w:type="dxa"/>
              <w:bottom w:w="80" w:type="dxa"/>
              <w:end w:w="120" w:type="dxa"/>
            </w:tcMar>
            <w:vAlign w:val="center"/>
            <w:shd w:fill="1F4E79"/>
          </w:tcPr>
          <w:p>
            <w:pPr>
              <w:spacing w:after="0"/>
              <w:jc w:val="center"/>
            </w:pPr>
            <w:r>
              <w:rPr>
                <w:rFonts w:ascii="Calibri" w:hAnsi="Calibri"/>
                <w:b/>
                <w:color w:val="FFFFFF"/>
                <w:sz w:val="17"/>
              </w:rPr>
              <w:t>Bez DPH</w:t>
            </w:r>
          </w:p>
        </w:tc>
        <w:tc>
          <w:tcPr>
            <w:tcW w:type="dxa" w:w="2324"/>
            <w:tcMar>
              <w:top w:w="80" w:type="dxa"/>
              <w:start w:w="120" w:type="dxa"/>
              <w:bottom w:w="80" w:type="dxa"/>
              <w:end w:w="120" w:type="dxa"/>
            </w:tcMar>
            <w:vAlign w:val="center"/>
            <w:shd w:fill="1F4E79"/>
          </w:tcPr>
          <w:p>
            <w:pPr>
              <w:spacing w:after="0"/>
              <w:jc w:val="center"/>
            </w:pPr>
            <w:r>
              <w:rPr>
                <w:rFonts w:ascii="Calibri" w:hAnsi="Calibri"/>
                <w:b/>
                <w:color w:val="FFFFFF"/>
                <w:sz w:val="17"/>
              </w:rPr>
              <w:t>S DPH</w:t>
            </w:r>
          </w:p>
        </w:tc>
      </w:tr>
      <w:tr>
        <w:trPr>
          <w:cantSplit/>
        </w:trPr>
        <w:tc>
          <w:tcPr>
            <w:tcW w:type="dxa" w:w="5159"/>
            <w:tcMar>
              <w:top w:w="80" w:type="dxa"/>
              <w:start w:w="120" w:type="dxa"/>
              <w:bottom w:w="80" w:type="dxa"/>
              <w:end w:w="120" w:type="dxa"/>
            </w:tcMar>
            <w:vAlign w:val="center"/>
          </w:tcPr>
          <w:p>
            <w:pPr>
              <w:spacing w:after="0"/>
              <w:jc w:val="left"/>
            </w:pPr>
            <w:r>
              <w:rPr>
                <w:rFonts w:ascii="Calibri" w:hAnsi="Calibri"/>
                <w:b w:val="0"/>
                <w:color w:val="1F1F1F"/>
                <w:sz w:val="17"/>
              </w:rPr>
              <w:t>PPA časť – všetky jednorazové náklady vrátane hardvéru</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r>
      <w:tr>
        <w:trPr>
          <w:cantSplit/>
        </w:trPr>
        <w:tc>
          <w:tcPr>
            <w:tcW w:type="dxa" w:w="5159"/>
            <w:tcMar>
              <w:top w:w="80" w:type="dxa"/>
              <w:start w:w="120" w:type="dxa"/>
              <w:bottom w:w="80" w:type="dxa"/>
              <w:end w:w="120" w:type="dxa"/>
            </w:tcMar>
            <w:vAlign w:val="center"/>
          </w:tcPr>
          <w:p>
            <w:pPr>
              <w:spacing w:after="0"/>
              <w:jc w:val="left"/>
            </w:pPr>
            <w:r>
              <w:rPr>
                <w:rFonts w:ascii="Calibri" w:hAnsi="Calibri"/>
                <w:b w:val="0"/>
                <w:color w:val="1F1F1F"/>
                <w:sz w:val="17"/>
              </w:rPr>
              <w:t>Opakované náklady – rok 1</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r>
      <w:tr>
        <w:trPr>
          <w:cantSplit/>
        </w:trPr>
        <w:tc>
          <w:tcPr>
            <w:tcW w:type="dxa" w:w="5159"/>
            <w:tcMar>
              <w:top w:w="80" w:type="dxa"/>
              <w:start w:w="120" w:type="dxa"/>
              <w:bottom w:w="80" w:type="dxa"/>
              <w:end w:w="120" w:type="dxa"/>
            </w:tcMar>
            <w:vAlign w:val="center"/>
          </w:tcPr>
          <w:p>
            <w:pPr>
              <w:spacing w:after="0"/>
              <w:jc w:val="left"/>
            </w:pPr>
            <w:r>
              <w:rPr>
                <w:rFonts w:ascii="Calibri" w:hAnsi="Calibri"/>
                <w:b w:val="0"/>
                <w:color w:val="1F1F1F"/>
                <w:sz w:val="17"/>
              </w:rPr>
              <w:t>Opakované náklady – rok 2</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r>
      <w:tr>
        <w:trPr>
          <w:cantSplit/>
        </w:trPr>
        <w:tc>
          <w:tcPr>
            <w:tcW w:type="dxa" w:w="5159"/>
            <w:tcMar>
              <w:top w:w="80" w:type="dxa"/>
              <w:start w:w="120" w:type="dxa"/>
              <w:bottom w:w="80" w:type="dxa"/>
              <w:end w:w="120" w:type="dxa"/>
            </w:tcMar>
            <w:vAlign w:val="center"/>
          </w:tcPr>
          <w:p>
            <w:pPr>
              <w:spacing w:after="0"/>
              <w:jc w:val="left"/>
            </w:pPr>
            <w:r>
              <w:rPr>
                <w:rFonts w:ascii="Calibri" w:hAnsi="Calibri"/>
                <w:b w:val="0"/>
                <w:color w:val="1F1F1F"/>
                <w:sz w:val="17"/>
              </w:rPr>
              <w:t>Opakované náklady – rok 3</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c>
          <w:tcPr>
            <w:tcW w:type="dxa" w:w="2324"/>
            <w:tcMar>
              <w:top w:w="80" w:type="dxa"/>
              <w:start w:w="120" w:type="dxa"/>
              <w:bottom w:w="80" w:type="dxa"/>
              <w:end w:w="120" w:type="dxa"/>
            </w:tcMar>
            <w:vAlign w:val="center"/>
          </w:tcPr>
          <w:p>
            <w:pPr>
              <w:spacing w:after="0"/>
              <w:jc w:val="center"/>
            </w:pPr>
            <w:r>
              <w:rPr>
                <w:rFonts w:ascii="Calibri" w:hAnsi="Calibri"/>
                <w:b w:val="0"/>
                <w:color w:val="1F1F1F"/>
                <w:sz w:val="17"/>
              </w:rPr>
              <w:t>[DOPLNÍ SA] EUR</w:t>
            </w:r>
          </w:p>
        </w:tc>
      </w:tr>
      <w:tr>
        <w:trPr>
          <w:cantSplit/>
        </w:trPr>
        <w:tc>
          <w:tcPr>
            <w:tcW w:type="dxa" w:w="5159"/>
            <w:tcMar>
              <w:top w:w="80" w:type="dxa"/>
              <w:start w:w="120" w:type="dxa"/>
              <w:bottom w:w="80" w:type="dxa"/>
              <w:end w:w="120" w:type="dxa"/>
            </w:tcMar>
            <w:vAlign w:val="center"/>
            <w:shd w:fill="D9EAF7"/>
          </w:tcPr>
          <w:p>
            <w:pPr>
              <w:spacing w:after="0"/>
              <w:jc w:val="left"/>
            </w:pPr>
            <w:r>
              <w:rPr>
                <w:rFonts w:ascii="Calibri" w:hAnsi="Calibri"/>
                <w:b/>
                <w:color w:val="1F1F1F"/>
                <w:sz w:val="17"/>
              </w:rPr>
              <w:t>Celková zmluvná cena za 36 mesiacov</w:t>
            </w:r>
          </w:p>
        </w:tc>
        <w:tc>
          <w:tcPr>
            <w:tcW w:type="dxa" w:w="2324"/>
            <w:tcMar>
              <w:top w:w="80" w:type="dxa"/>
              <w:start w:w="120" w:type="dxa"/>
              <w:bottom w:w="80" w:type="dxa"/>
              <w:end w:w="120" w:type="dxa"/>
            </w:tcMar>
            <w:vAlign w:val="center"/>
            <w:shd w:fill="D9EAF7"/>
          </w:tcPr>
          <w:p>
            <w:pPr>
              <w:spacing w:after="0"/>
              <w:jc w:val="center"/>
            </w:pPr>
            <w:r>
              <w:rPr>
                <w:rFonts w:ascii="Calibri" w:hAnsi="Calibri"/>
                <w:b/>
                <w:color w:val="1F1F1F"/>
                <w:sz w:val="17"/>
              </w:rPr>
              <w:t>[DOPLNÍ SA] EUR</w:t>
            </w:r>
          </w:p>
        </w:tc>
        <w:tc>
          <w:tcPr>
            <w:tcW w:type="dxa" w:w="2324"/>
            <w:tcMar>
              <w:top w:w="80" w:type="dxa"/>
              <w:start w:w="120" w:type="dxa"/>
              <w:bottom w:w="80" w:type="dxa"/>
              <w:end w:w="120" w:type="dxa"/>
            </w:tcMar>
            <w:vAlign w:val="center"/>
            <w:shd w:fill="D9EAF7"/>
          </w:tcPr>
          <w:p>
            <w:pPr>
              <w:spacing w:after="0"/>
              <w:jc w:val="center"/>
            </w:pPr>
            <w:r>
              <w:rPr>
                <w:rFonts w:ascii="Calibri" w:hAnsi="Calibri"/>
                <w:b/>
                <w:color w:val="1F1F1F"/>
                <w:sz w:val="17"/>
              </w:rPr>
              <w:t>[DOPLNÍ SA] EUR</w:t>
            </w:r>
          </w:p>
        </w:tc>
      </w:tr>
    </w:tbl>
    <w:p>
      <w:pPr>
        <w:keepLines w:val="0"/>
        <w:spacing w:before="0" w:after="70" w:line="247" w:lineRule="auto"/>
        <w:jc w:val="both"/>
      </w:pPr>
      <w:r>
        <w:rPr>
          <w:rFonts w:ascii="Calibri" w:hAnsi="Calibri"/>
          <w:b w:val="0"/>
          <w:color w:val="1F1F1F"/>
          <w:sz w:val="19"/>
        </w:rPr>
        <w:t>3.2. Z nenávratného finančného príspevku sa uhradia iba náklady uznané za oprávnené; ostatné náklady uhradí Objednávateľ z vlastných zdrojov. Jednorazové ceny sú pevné.</w:t>
      </w:r>
    </w:p>
    <w:p>
      <w:pPr>
        <w:keepLines w:val="0"/>
        <w:spacing w:before="0" w:after="90" w:line="247" w:lineRule="auto"/>
        <w:jc w:val="both"/>
      </w:pPr>
      <w:r>
        <w:rPr>
          <w:rFonts w:ascii="Calibri" w:hAnsi="Calibri"/>
          <w:b w:val="0"/>
          <w:color w:val="1F1F1F"/>
          <w:sz w:val="19"/>
        </w:rPr>
        <w:t>3.3. Ceny opakovaných plnení sú pevné prvých 12 mesiacov od Go-live. Potom ich možno upraviť najviac raz ročne: vlastné služby Dodávateľa podľa medziročnej inflácie zverejnenej Štatistickým úradom SR, pri zvýšení najviac o 5 %, a služby tretích strán iba o preukázanú zmenu ich ceny bez prirážky, pri zvýšení najviac o 10 %. Zníženie sa premietne v plnom rozsahu. Dodávateľ zmenu oznámi a preukáže najmenej 60 dní vopred; zmena vyžaduje písomný dodatok a musí byť prípustná podľa pravidiel obstarávania. Pri zvýšení tretej strany nad 10 % sa strany dohodnú na cene alebo rovnocennej náhrade; inak možno ukončiť iba dotknutú oddeliteľnú službu s prechodným poskytovaním najmenej 90 dní.</w:t>
      </w:r>
    </w:p>
    <w:p>
      <w:pPr>
        <w:keepLines w:val="0"/>
        <w:spacing w:before="0" w:after="90" w:line="247" w:lineRule="auto"/>
        <w:jc w:val="both"/>
      </w:pPr>
      <w:r>
        <w:rPr>
          <w:rFonts w:ascii="Calibri" w:hAnsi="Calibri"/>
          <w:b w:val="0"/>
          <w:color w:val="1F1F1F"/>
          <w:sz w:val="19"/>
        </w:rPr>
        <w:t>3.4. Jednorazové plnenia tvoriace PPA časť možno fakturovať po riadnom odovzdaní a akceptácii týchto ucelených častí:</w:t>
      </w:r>
    </w:p>
    <w:p>
      <w:pPr>
        <w:keepLines w:val="0"/>
        <w:spacing w:before="0" w:after="90" w:line="247" w:lineRule="auto"/>
        <w:jc w:val="both"/>
      </w:pPr>
      <w:r>
        <w:rPr>
          <w:rFonts w:ascii="Calibri" w:hAnsi="Calibri"/>
          <w:b w:val="0"/>
          <w:color w:val="1F1F1F"/>
          <w:sz w:val="19"/>
        </w:rPr>
        <w:t>a) hardvér v cene podľa Prílohy č. 1 po jeho dodaní, kontrole množstva a modelov, funkčnom odskúšaní a podpísaní preberacieho protokolu;</w:t>
      </w:r>
    </w:p>
    <w:p>
      <w:pPr>
        <w:keepLines w:val="0"/>
        <w:spacing w:before="0" w:after="90" w:line="247" w:lineRule="auto"/>
        <w:jc w:val="both"/>
      </w:pPr>
      <w:r>
        <w:rPr>
          <w:rFonts w:ascii="Calibri" w:hAnsi="Calibri"/>
          <w:b w:val="0"/>
          <w:color w:val="1F1F1F"/>
          <w:sz w:val="19"/>
        </w:rPr>
        <w:t>b) 40 % z jednorazovej ceny implementačných prác bez hardvéru po akceptácii analýzy a návrhu riešenia, sprístupnení testovacieho prostredia a predvedení základnej konfigurácie Riešenia;</w:t>
      </w:r>
    </w:p>
    <w:p>
      <w:pPr>
        <w:keepLines w:val="0"/>
        <w:spacing w:before="0" w:after="90" w:line="247" w:lineRule="auto"/>
        <w:jc w:val="both"/>
      </w:pPr>
      <w:r>
        <w:rPr>
          <w:rFonts w:ascii="Calibri" w:hAnsi="Calibri"/>
          <w:b w:val="0"/>
          <w:color w:val="1F1F1F"/>
          <w:sz w:val="19"/>
        </w:rPr>
        <w:t>c) 40 % z jednorazovej ceny implementačných prác bez hardvéru po implementovaní všetkých povinných požiadaviek v testovacom prostredí, vykonaní testovacej migrácie a integrácií a úspešnom ukončení používateľského akceptačného testovania bez otvorenej kritickej vady;</w:t>
      </w:r>
    </w:p>
    <w:p>
      <w:pPr>
        <w:keepLines w:val="0"/>
        <w:spacing w:before="0" w:after="90" w:line="247" w:lineRule="auto"/>
        <w:jc w:val="both"/>
      </w:pPr>
      <w:r>
        <w:rPr>
          <w:rFonts w:ascii="Calibri" w:hAnsi="Calibri"/>
          <w:b w:val="0"/>
          <w:color w:val="1F1F1F"/>
          <w:sz w:val="19"/>
        </w:rPr>
        <w:t>d) zostávajúcich 20 % z jednorazovej ceny implementačných prác bez hardvéru po akceptácii Go-live, odovzdaní povinnej dokumentácie a uskutočnení povinných školení.</w:t>
      </w:r>
    </w:p>
    <w:p>
      <w:pPr>
        <w:keepLines w:val="0"/>
        <w:spacing w:before="0" w:after="90" w:line="247" w:lineRule="auto"/>
        <w:jc w:val="both"/>
      </w:pPr>
      <w:r>
        <w:rPr>
          <w:rFonts w:ascii="Calibri" w:hAnsi="Calibri"/>
          <w:b w:val="0"/>
          <w:color w:val="1F1F1F"/>
          <w:sz w:val="19"/>
        </w:rPr>
        <w:t>3.5. Čiastková akceptácia alebo úhrada neznamená akceptáciu Riešenia ako celku, neobmedzuje zodpovednosť Dodávateľa za vady a nemení konečný termín podľa bodu 2.2. Zálohové platby sa neposkytujú.</w:t>
      </w:r>
    </w:p>
    <w:p>
      <w:pPr>
        <w:keepLines w:val="0"/>
        <w:spacing w:before="0" w:after="90" w:line="247" w:lineRule="auto"/>
        <w:jc w:val="both"/>
      </w:pPr>
      <w:r>
        <w:rPr>
          <w:rFonts w:ascii="Calibri" w:hAnsi="Calibri"/>
          <w:b w:val="0"/>
          <w:color w:val="1F1F1F"/>
          <w:sz w:val="19"/>
        </w:rPr>
        <w:t>3.6. Opakované plnenia sa fakturujú mesačne pozadu. Licenciu, predplatné, hosting alebo inú službu tretej strany, ktorú musí Dodávateľ uhradiť ročne vopred, možno fakturovať po jej aktivácii pre Objednávateľa a preukázaní príslušného nákladu, najskôr 30 dní pred začiatkom obdobia používania.</w:t>
      </w:r>
    </w:p>
    <w:p>
      <w:pPr>
        <w:keepLines w:val="0"/>
        <w:spacing w:before="0" w:after="90" w:line="247" w:lineRule="auto"/>
        <w:jc w:val="both"/>
      </w:pPr>
      <w:r>
        <w:rPr>
          <w:rFonts w:ascii="Calibri" w:hAnsi="Calibri"/>
          <w:b w:val="0"/>
          <w:color w:val="1F1F1F"/>
          <w:sz w:val="19"/>
        </w:rPr>
        <w:t>3.7. Splatnosť riadnej faktúry je 30 dní. Prílohou je príslušný akceptačný alebo preberací protokol, prípadne doklad o poskytnutí opakovanej služby. Objednávateľ môže neúplnú alebo nesprávnu faktúru vrátiť; nová lehota plynie od doručenia opravenej faktúry.</w:t>
      </w:r>
    </w:p>
    <w:p>
      <w:pPr>
        <w:pStyle w:val="Heading1"/>
        <w:keepNext/>
        <w:pageBreakBefore w:val="0"/>
        <w:jc w:val="center"/>
      </w:pPr>
      <w:r>
        <w:rPr>
          <w:rFonts w:ascii="Calibri" w:hAnsi="Calibri"/>
          <w:b/>
          <w:color w:val="1F4E79"/>
          <w:sz w:val="22"/>
        </w:rPr>
        <w:t>Článok IV</w:t>
        <w:br/>
        <w:t>Súčinnosť, zmeny a akceptácia</w:t>
      </w:r>
    </w:p>
    <w:p>
      <w:pPr>
        <w:keepLines w:val="0"/>
        <w:spacing w:before="0" w:after="90" w:line="247" w:lineRule="auto"/>
        <w:jc w:val="both"/>
      </w:pPr>
      <w:r>
        <w:rPr>
          <w:rFonts w:ascii="Calibri" w:hAnsi="Calibri"/>
          <w:b w:val="0"/>
          <w:color w:val="1F1F1F"/>
          <w:sz w:val="19"/>
        </w:rPr>
        <w:t>4.1. Každá strana určí kontaktnú osobu. Objednávateľ poskytne dohodnuté prístupy, podklady, dáta a rozhodnutia; zodpovedá za ich zákonnosť a správnosť. Dodávateľ ich odborne preverí v dohodnutom rozsahu a bezodkladne upozorní na zistené chyby a riziká.</w:t>
      </w:r>
    </w:p>
    <w:p>
      <w:pPr>
        <w:keepLines w:val="0"/>
        <w:spacing w:before="0" w:after="90" w:line="247" w:lineRule="auto"/>
        <w:jc w:val="both"/>
      </w:pPr>
      <w:r>
        <w:rPr>
          <w:rFonts w:ascii="Calibri" w:hAnsi="Calibri"/>
          <w:b w:val="0"/>
          <w:color w:val="1F1F1F"/>
          <w:sz w:val="19"/>
        </w:rPr>
        <w:t>4.2. Dodávateľ odovzdá plnenie písomne s dokumentáciou a výsledkami testov. Objednávateľ ho do 10 pracovných dní akceptuje alebo odôvodnene odmietne s uvedením konkrétnych nedostatkov. Akceptáciu nesmie bezdôvodne zdržiavať; mlčanie sa nepovažuje za akceptáciu.</w:t>
      </w:r>
    </w:p>
    <w:p>
      <w:pPr>
        <w:keepLines w:val="0"/>
        <w:spacing w:before="0" w:after="90" w:line="247" w:lineRule="auto"/>
        <w:jc w:val="both"/>
      </w:pPr>
      <w:r>
        <w:rPr>
          <w:rFonts w:ascii="Calibri" w:hAnsi="Calibri"/>
          <w:b w:val="0"/>
          <w:color w:val="1F1F1F"/>
          <w:sz w:val="19"/>
        </w:rPr>
        <w:t>4.3. Kritickou vadou je vada, ktorá znemožňuje bezpečné používanie alebo kľúčový výrobný, skladový, obchodný či účtovný proces, spôsobuje závažné poškodenie dát alebo vážne bezpečnostné riziko. Plnenie s kritickou vadou nemožno akceptovať. Nekritické vady možno uviesť v akceptačnom protokole s lehotou na odstránenie. Akceptácia sa posudzuje podľa požiadaviek „MUST“ alebo „POVINNÉ“ v Prílohe č. 1.</w:t>
      </w:r>
    </w:p>
    <w:p>
      <w:pPr>
        <w:keepLines w:val="0"/>
        <w:spacing w:before="0" w:after="90" w:line="247" w:lineRule="auto"/>
        <w:jc w:val="both"/>
      </w:pPr>
      <w:r>
        <w:rPr>
          <w:rFonts w:ascii="Calibri" w:hAnsi="Calibri"/>
          <w:b w:val="0"/>
          <w:color w:val="1F1F1F"/>
          <w:sz w:val="19"/>
        </w:rPr>
        <w:t>4.4. Zmenu povinného rozsahu, ceny alebo termínu podľa bodu 2.2 možno vykonať iba písomným dodatkom, z objektívnych dôvodov a v rozsahu prípustnom podľa pravidiel obstarávania a financovania. Ak neposkytnutie súčinnosti Objednávateľa preukázateľne ovplyvní plnenie, termín sa predĺži o nevyhnutnú dobu, ak Dodávateľ na chýbajúcu súčinnosť a jej dopad písomne upozorní najneskôr do piatich pracovných dní.</w:t>
      </w:r>
    </w:p>
    <w:p>
      <w:pPr>
        <w:pStyle w:val="Heading1"/>
        <w:keepNext/>
        <w:pageBreakBefore w:val="0"/>
        <w:jc w:val="center"/>
      </w:pPr>
      <w:r>
        <w:rPr>
          <w:rFonts w:ascii="Calibri" w:hAnsi="Calibri"/>
          <w:b/>
          <w:color w:val="1F4E79"/>
          <w:sz w:val="22"/>
        </w:rPr>
        <w:t>Článok V</w:t>
        <w:br/>
        <w:t>Prevádzka, podpora a záruka</w:t>
      </w:r>
    </w:p>
    <w:p>
      <w:pPr>
        <w:keepLines w:val="0"/>
        <w:spacing w:before="0" w:after="90" w:line="247" w:lineRule="auto"/>
        <w:jc w:val="both"/>
      </w:pPr>
      <w:r>
        <w:rPr>
          <w:rFonts w:ascii="Calibri" w:hAnsi="Calibri"/>
          <w:b w:val="0"/>
          <w:color w:val="1F1F1F"/>
          <w:sz w:val="19"/>
        </w:rPr>
        <w:t>5.1. Dodávateľ počas 36 mesiacov zabezpečí licencie alebo predplatné, hosting, aktualizácie, zálohy, bezpečnostné opravy a podporu v rozsahu a časoch podľa Prílohy č. 1.</w:t>
      </w:r>
    </w:p>
    <w:p>
      <w:pPr>
        <w:keepLines w:val="0"/>
        <w:spacing w:before="0" w:after="90" w:line="247" w:lineRule="auto"/>
        <w:jc w:val="both"/>
      </w:pPr>
      <w:r>
        <w:rPr>
          <w:rFonts w:ascii="Calibri" w:hAnsi="Calibri"/>
          <w:b w:val="0"/>
          <w:color w:val="1F1F1F"/>
          <w:sz w:val="19"/>
        </w:rPr>
        <w:t>5.2. Dodávateľ bez ďalšej úhrady odstráni vady spôsobené jeho návrhom, implementáciou, konfiguráciou, integráciou alebo prevádzkou. Nezodpovedá za vadu spôsobenú výlučne chybnými vstupmi Objednávateľa, jeho neautorizovaným zásahom alebo nepredvídateľnou zmenou služby tretej strany, ak príčinu preukáže a na známe riziko včas upozornil. Zodpovedá však za odborný výber a integráciu komponentov, ktoré sám navrhol alebo zabezpečil.</w:t>
      </w:r>
    </w:p>
    <w:p>
      <w:pPr>
        <w:keepLines w:val="0"/>
        <w:spacing w:before="0" w:after="90" w:line="247" w:lineRule="auto"/>
        <w:jc w:val="both"/>
      </w:pPr>
      <w:r>
        <w:rPr>
          <w:rFonts w:ascii="Calibri" w:hAnsi="Calibri"/>
          <w:b w:val="0"/>
          <w:color w:val="1F1F1F"/>
          <w:sz w:val="19"/>
        </w:rPr>
        <w:t>5.3. Na hardvér poskytne Dodávateľ záruku najmenej 24 mesiacov alebo dlhšiu záruku uvedenú v Prílohe č. 1. Bežné aktualizácie, bezpečnostné opravy a zachovanie kompatibility podporovaných verzií sú počas 36 mesiacov zahrnuté v podpore, ak Príloha č. 1 neurčuje inak.</w:t>
      </w:r>
    </w:p>
    <w:p>
      <w:pPr>
        <w:pStyle w:val="Heading1"/>
        <w:keepNext/>
        <w:pageBreakBefore w:val="0"/>
        <w:jc w:val="center"/>
      </w:pPr>
      <w:r>
        <w:rPr>
          <w:rFonts w:ascii="Calibri" w:hAnsi="Calibri"/>
          <w:b/>
          <w:color w:val="1F4E79"/>
          <w:sz w:val="22"/>
        </w:rPr>
        <w:t>Článok VI</w:t>
        <w:br/>
        <w:t>Licencie, dáta, bezpečnosť a mlčanlivosť</w:t>
      </w:r>
    </w:p>
    <w:p>
      <w:pPr>
        <w:keepLines w:val="0"/>
        <w:spacing w:before="0" w:after="90" w:line="247" w:lineRule="auto"/>
        <w:jc w:val="both"/>
      </w:pPr>
      <w:r>
        <w:rPr>
          <w:rFonts w:ascii="Calibri" w:hAnsi="Calibri"/>
          <w:b w:val="0"/>
          <w:color w:val="1F1F1F"/>
          <w:sz w:val="19"/>
        </w:rPr>
        <w:t>6.1. Dodávateľ zabezpečí licencie potrebné na dohodnuté používanie Riešenia podľa Prílohy č. 1. K výstupom vytvoreným osobitne pre Objednávateľa poskytuje nevýhradnú, časovo a územne neobmedzenú licenciu na ich používanie, údržbu a úpravu Objednávateľom alebo ním poverenou osobou. Práva k štandardným produktom a predexistujúcim komponentom zostávajú ich nositeľom.</w:t>
      </w:r>
    </w:p>
    <w:p>
      <w:pPr>
        <w:keepLines w:val="0"/>
        <w:spacing w:before="0" w:after="90" w:line="247" w:lineRule="auto"/>
        <w:jc w:val="both"/>
      </w:pPr>
      <w:r>
        <w:rPr>
          <w:rFonts w:ascii="Calibri" w:hAnsi="Calibri"/>
          <w:b w:val="0"/>
          <w:color w:val="1F1F1F"/>
          <w:sz w:val="19"/>
        </w:rPr>
        <w:t>6.2. Dáta spravované v Riešení patria Objednávateľovi. Dodávateľ ich nesmie použiť na iný účel ani zadržať pre platobný spor. Pri Go-live odovzdá dokumentáciu a prístupy patriace Objednávateľovi alebo potrebné na jeho správu Riešenia; povinnosť sa nevzťahuje na spoločné interné účty a dôverné nástroje Dodávateľa.</w:t>
      </w:r>
    </w:p>
    <w:p>
      <w:pPr>
        <w:keepLines w:val="0"/>
        <w:spacing w:before="0" w:after="90" w:line="247" w:lineRule="auto"/>
        <w:jc w:val="both"/>
      </w:pPr>
      <w:r>
        <w:rPr>
          <w:rFonts w:ascii="Calibri" w:hAnsi="Calibri"/>
          <w:b w:val="0"/>
          <w:color w:val="1F1F1F"/>
          <w:sz w:val="19"/>
        </w:rPr>
        <w:t>6.3. Ak Dodávateľ spracúva osobné údaje v mene Objednávateľa, koná ako sprostredkovateľ podľa článku 28 GDPR. Spracúvanie trvá počas poskytovania služieb, slúži na prevádzku ERP, webu, e-shopu, hostingu a podpory a môže zahŕňať identifikačné, kontaktné, objednávkové, zamestnanecké a používateľské údaje. Dodávateľ ich spracúva iba podľa pokynov, zabezpečí mlčanlivosť osôb, primerané technické a organizačné opatrenia, rovnaké povinnosti ďalších sprostredkovateľov, potrebnú súčinnosť a informácie na primerané overenie plnenia. Nového sprostredkovateľa alebo zmenu hostingovej lokality oznámi najmenej 30 dní vopred. Bezpečnostný incident oznámi bez zbytočného odkladu, najneskôr do 24 hodín od zistenia. Po skončení údaje podľa pokynu vráti alebo vymaže, ak zákon nevyžaduje ich uchovanie.</w:t>
      </w:r>
    </w:p>
    <w:p>
      <w:pPr>
        <w:keepLines w:val="0"/>
        <w:spacing w:before="0" w:after="90" w:line="247" w:lineRule="auto"/>
        <w:jc w:val="both"/>
      </w:pPr>
      <w:r>
        <w:rPr>
          <w:rFonts w:ascii="Calibri" w:hAnsi="Calibri"/>
          <w:b w:val="0"/>
          <w:color w:val="1F1F1F"/>
          <w:sz w:val="19"/>
        </w:rPr>
        <w:t>6.4. Zmluvné strany zachovajú mlčanlivosť o dôverných obchodných, technických, bezpečnostných a osobných údajoch aj po skončení zmluvy. Povinnosť sa nevzťahuje na zákonné zverejnenie, oprávnené kontrolné orgány a poradcov viazaných mlčanlivosťou.</w:t>
      </w:r>
    </w:p>
    <w:p>
      <w:pPr>
        <w:pStyle w:val="Heading1"/>
        <w:keepNext/>
        <w:pageBreakBefore w:val="0"/>
        <w:jc w:val="center"/>
      </w:pPr>
      <w:r>
        <w:rPr>
          <w:rFonts w:ascii="Calibri" w:hAnsi="Calibri"/>
          <w:b/>
          <w:color w:val="1F4E79"/>
          <w:sz w:val="22"/>
        </w:rPr>
        <w:t>Článok VII</w:t>
        <w:br/>
        <w:t>Zodpovednosť, sankcie a vyššia moc</w:t>
      </w:r>
    </w:p>
    <w:p>
      <w:pPr>
        <w:keepLines w:val="0"/>
        <w:spacing w:before="0" w:after="90" w:line="247" w:lineRule="auto"/>
        <w:jc w:val="both"/>
      </w:pPr>
      <w:r>
        <w:rPr>
          <w:rFonts w:ascii="Calibri" w:hAnsi="Calibri"/>
          <w:b w:val="0"/>
          <w:color w:val="1F1F1F"/>
          <w:sz w:val="19"/>
        </w:rPr>
        <w:t>7.1. Dodávateľ zodpovedá za súlad Riešenia so zmluvou, Prílohou č. 1, právnymi predpismi a právami tretích osôb a odstráni vady, za ktoré zodpovedá.</w:t>
      </w:r>
    </w:p>
    <w:p>
      <w:pPr>
        <w:keepLines w:val="0"/>
        <w:spacing w:before="0" w:after="90" w:line="247" w:lineRule="auto"/>
        <w:jc w:val="both"/>
      </w:pPr>
      <w:r>
        <w:rPr>
          <w:rFonts w:ascii="Calibri" w:hAnsi="Calibri"/>
          <w:b w:val="0"/>
          <w:color w:val="1F1F1F"/>
          <w:sz w:val="19"/>
        </w:rPr>
        <w:t>7.2. Pri omeškaní Dodávateľa s termínom ukončenia PPA časti podľa bodu 2.2 môže Objednávateľ požadovať zmluvnú pokutu 0,05 % z ceny PPA časti bez DPH za každý začatý deň omeškania, najviac 10 % z tejto ceny. Sankcia sa neuplatní v rozsahu omeškania spôsobeného Objednávateľom, vyššou mocou alebo riadne schválenou zmenou.</w:t>
      </w:r>
    </w:p>
    <w:p>
      <w:pPr>
        <w:keepLines w:val="0"/>
        <w:spacing w:before="0" w:after="90" w:line="247" w:lineRule="auto"/>
        <w:jc w:val="both"/>
      </w:pPr>
      <w:r>
        <w:rPr>
          <w:rFonts w:ascii="Calibri" w:hAnsi="Calibri"/>
          <w:b w:val="0"/>
          <w:color w:val="1F1F1F"/>
          <w:sz w:val="19"/>
        </w:rPr>
        <w:t>7.3. Za preukázané nedodržanie reakčného času priority P1 alebo garantovanej dostupnosti môže Objednávateľ uplatniť zľavu 5 % z mesačnej ceny podpory a prevádzky, súhrnne najviac 50 % tejto mesačnej ceny.</w:t>
      </w:r>
    </w:p>
    <w:p>
      <w:pPr>
        <w:keepLines w:val="0"/>
        <w:spacing w:before="0" w:after="90" w:line="247" w:lineRule="auto"/>
        <w:jc w:val="both"/>
      </w:pPr>
      <w:r>
        <w:rPr>
          <w:rFonts w:ascii="Calibri" w:hAnsi="Calibri"/>
          <w:b w:val="0"/>
          <w:color w:val="1F1F1F"/>
          <w:sz w:val="19"/>
        </w:rPr>
        <w:t>7.4. Celková zodpovednosť Dodávateľa zo zmluvných pokút, zliav a náhrady škody nepresiahne celkovú zmluvnú cenu bez DPH podľa bodu 3.1. Limit sa neuplatní pri úmysle, hrubej nedbanlivosti ani pri zodpovednosti, ktorú nemožno podľa zákona obmedziť. Dodávateľ nezodpovedá za nepriamu škodu ani ušlý zisk, okrem primeraných nákladov na obnovu dát a náhradnú prevádzku vzniknutých priamym porušením jeho povinností.</w:t>
      </w:r>
    </w:p>
    <w:p>
      <w:pPr>
        <w:keepLines w:val="0"/>
        <w:spacing w:before="0" w:after="90" w:line="247" w:lineRule="auto"/>
        <w:jc w:val="both"/>
      </w:pPr>
      <w:r>
        <w:rPr>
          <w:rFonts w:ascii="Calibri" w:hAnsi="Calibri"/>
          <w:b w:val="0"/>
          <w:color w:val="1F1F1F"/>
          <w:sz w:val="19"/>
        </w:rPr>
        <w:t>7.5. Strana nezodpovedá za nesplnenie spôsobené vyššou mocou, ak jej vznik a dopad bezodkladne oznámi a primerane zmierňuje následky. Dotknuté termíny sa predĺžia o preukázanú dobu jej účinkov.</w:t>
      </w:r>
    </w:p>
    <w:p>
      <w:pPr>
        <w:pStyle w:val="Heading1"/>
        <w:keepNext/>
        <w:pageBreakBefore w:val="0"/>
        <w:jc w:val="center"/>
      </w:pPr>
      <w:r>
        <w:rPr>
          <w:rFonts w:ascii="Calibri" w:hAnsi="Calibri"/>
          <w:b/>
          <w:color w:val="1F4E79"/>
          <w:sz w:val="22"/>
        </w:rPr>
        <w:t>Článok VIII</w:t>
        <w:br/>
        <w:t>Ukončenie zmluvy, odovzdanie a kontrola</w:t>
      </w:r>
    </w:p>
    <w:p>
      <w:pPr>
        <w:keepLines w:val="0"/>
        <w:spacing w:before="0" w:after="90" w:line="247" w:lineRule="auto"/>
        <w:jc w:val="both"/>
      </w:pPr>
      <w:r>
        <w:rPr>
          <w:rFonts w:ascii="Calibri" w:hAnsi="Calibri"/>
          <w:b w:val="0"/>
          <w:color w:val="1F1F1F"/>
          <w:sz w:val="19"/>
        </w:rPr>
        <w:t>8.1. Objednávateľ môže od zmluvy odstúpiť pri nesplnení povinnej požiadavky, omeškaní s PPA časťou dlhšom ako 30 dní, opakovanom závažnom porušení podpory alebo závažnom bezpečnostnom incidente, ak Dodávateľ nenapraví porušenie ani v dodatočnej lehote najmenej 10 pracovných dní.</w:t>
      </w:r>
    </w:p>
    <w:p>
      <w:pPr>
        <w:keepLines w:val="0"/>
        <w:spacing w:before="0" w:after="90" w:line="247" w:lineRule="auto"/>
        <w:jc w:val="both"/>
      </w:pPr>
      <w:r>
        <w:rPr>
          <w:rFonts w:ascii="Calibri" w:hAnsi="Calibri"/>
          <w:b w:val="0"/>
          <w:color w:val="1F1F1F"/>
          <w:sz w:val="19"/>
        </w:rPr>
        <w:t>8.2. Dodávateľ môže od zmluvy odstúpiť pri omeškaní Objednávateľa s úhradou nesporného záväzku dlhšom ako 30 dní alebo pri neposkytovaní nevyhnutnej súčinnosti dlhšom ako 30 dní, ak Objednávateľ nenapraví porušenie ani v dodatočnej lehote najmenej 15 dní.</w:t>
      </w:r>
    </w:p>
    <w:p>
      <w:pPr>
        <w:keepLines w:val="0"/>
        <w:spacing w:before="0" w:after="90" w:line="247" w:lineRule="auto"/>
        <w:jc w:val="both"/>
      </w:pPr>
      <w:r>
        <w:rPr>
          <w:rFonts w:ascii="Calibri" w:hAnsi="Calibri"/>
          <w:b w:val="0"/>
          <w:color w:val="1F1F1F"/>
          <w:sz w:val="19"/>
        </w:rPr>
        <w:t>8.3. Ak bude zmluva ukončená z dôvodu porušenia povinností Dodávateľa, Dodávateľ do 15 dní vráti časť uhradenej ceny zodpovedajúcu plneniam, ktoré neboli riadne odovzdané, nemožno ich samostatne použiť alebo ich Objednávateľ nemôže využiť pri dokončení Riešenia iným dodávateľom.</w:t>
      </w:r>
    </w:p>
    <w:p>
      <w:pPr>
        <w:keepLines w:val="0"/>
        <w:spacing w:before="0" w:after="90" w:line="247" w:lineRule="auto"/>
        <w:jc w:val="both"/>
      </w:pPr>
      <w:r>
        <w:rPr>
          <w:rFonts w:ascii="Calibri" w:hAnsi="Calibri"/>
          <w:b w:val="0"/>
          <w:color w:val="1F1F1F"/>
          <w:sz w:val="19"/>
        </w:rPr>
        <w:t>8.4. Po skončení Dodávateľ do 10 pracovných dní od požiadavky odovzdá úplný export dát v otvorenom strojovo spracovateľnom formáte, aktuálnu dokumentáciu, prístupy a konfigurácie potrebné na prevzatie prevádzky. Jeden úplný export a primeraná súčinnosť pri odovzdaní sú zahrnuté v cene. Dáta ani prístupy nesmie zadržať pre platobný spor.</w:t>
      </w:r>
    </w:p>
    <w:p>
      <w:pPr>
        <w:keepLines w:val="0"/>
        <w:spacing w:before="0" w:after="90" w:line="247" w:lineRule="auto"/>
        <w:jc w:val="both"/>
      </w:pPr>
      <w:r>
        <w:rPr>
          <w:rFonts w:ascii="Calibri" w:hAnsi="Calibri"/>
          <w:b w:val="0"/>
          <w:color w:val="1F1F1F"/>
          <w:sz w:val="19"/>
        </w:rPr>
        <w:t>8.5. Dodávateľ umožní kontrolu oprávneným osobám PPA, MPRV SR, Slovenskej republiky a Európskej únie, poskytne dokumenty priamo súvisiace s plnením a uchová ich počas požadovanej lehoty. Rovnakú povinnosť zabezpečí u subdodávateľov.</w:t>
      </w:r>
    </w:p>
    <w:p>
      <w:pPr>
        <w:pStyle w:val="Heading1"/>
        <w:keepNext/>
        <w:pageBreakBefore w:val="0"/>
        <w:jc w:val="center"/>
      </w:pPr>
      <w:r>
        <w:rPr>
          <w:rFonts w:ascii="Calibri" w:hAnsi="Calibri"/>
          <w:b/>
          <w:color w:val="1F4E79"/>
          <w:sz w:val="22"/>
        </w:rPr>
        <w:t>Článok IX</w:t>
        <w:br/>
        <w:t>Záverečné ustanovenia</w:t>
      </w:r>
    </w:p>
    <w:p>
      <w:pPr>
        <w:keepLines w:val="0"/>
        <w:spacing w:before="0" w:after="90" w:line="247" w:lineRule="auto"/>
        <w:jc w:val="both"/>
      </w:pPr>
      <w:r>
        <w:rPr>
          <w:rFonts w:ascii="Calibri" w:hAnsi="Calibri"/>
          <w:b w:val="0"/>
          <w:color w:val="1F1F1F"/>
          <w:sz w:val="19"/>
        </w:rPr>
        <w:t>9.1. Zmluvu možno meniť iba písomnými, vzostupne číslovanými dodatkami podpísanými oboma stranami, ak nejde o bežné projektové rozhodnutie bez dopadu na povinný rozsah, cenu alebo termín. Zmena musí byť prípustná podľa pravidiel obstarávania a financovania.</w:t>
      </w:r>
    </w:p>
    <w:p>
      <w:pPr>
        <w:keepLines w:val="0"/>
        <w:spacing w:before="0" w:after="90" w:line="247" w:lineRule="auto"/>
        <w:jc w:val="both"/>
      </w:pPr>
      <w:r>
        <w:rPr>
          <w:rFonts w:ascii="Calibri" w:hAnsi="Calibri"/>
          <w:b w:val="0"/>
          <w:color w:val="1F1F1F"/>
          <w:sz w:val="19"/>
        </w:rPr>
        <w:t>9.2. Zmluva nadobúda platnosť podpisom oboma stranami a účinnosť dňom nasledujúcim po zverejnení, ak sa povinne zverejňuje; inak podpisom poslednej strany. Právne vzťahy sa riadia právom Slovenskej republiky. Spory sa strany pokúsia vyriešiť dohodou, inak ich rozhodne príslušný súd Slovenskej republiky.</w:t>
      </w:r>
    </w:p>
    <w:p>
      <w:pPr>
        <w:keepLines w:val="0"/>
        <w:spacing w:before="0" w:after="90" w:line="247" w:lineRule="auto"/>
        <w:jc w:val="both"/>
      </w:pPr>
      <w:r>
        <w:rPr>
          <w:rFonts w:ascii="Calibri" w:hAnsi="Calibri"/>
          <w:b w:val="0"/>
          <w:color w:val="1F1F1F"/>
          <w:sz w:val="19"/>
        </w:rPr>
        <w:t>9.3. Písomnosti o ukončení, sankciách a zmenách sa doručujú doporučene, kuriérom alebo elektronicky s preukázateľným potvrdením doručenia. Neplatnosť jedného ustanovenia nemá vplyv na ostatné ustanovenia.</w:t>
      </w:r>
    </w:p>
    <w:p>
      <w:pPr>
        <w:keepLines w:val="0"/>
        <w:spacing w:before="0" w:after="90" w:line="247" w:lineRule="auto"/>
        <w:jc w:val="both"/>
      </w:pPr>
      <w:r>
        <w:rPr>
          <w:rFonts w:ascii="Calibri" w:hAnsi="Calibri"/>
          <w:b w:val="0"/>
          <w:color w:val="1F1F1F"/>
          <w:sz w:val="19"/>
        </w:rPr>
        <w:t>9.4. Zmluva je vyhotovená v štyroch rovnopisoch, po dve vyhotovenia pre každú stranu, alebo podpísaná kvalifikovanými elektronickými podpismi. Zmluvné strany vyhlasujú, že si ju prečítali, rozumejú jej a podpisujú ju slobodne a vážne.</w:t>
      </w:r>
    </w:p>
    <w:p>
      <w:pPr>
        <w:pageBreakBefore w:val="0"/>
        <w:spacing w:before="0" w:after="60"/>
        <w:jc w:val="center"/>
      </w:pPr>
      <w:r>
        <w:rPr>
          <w:rFonts w:ascii="Calibri" w:hAnsi="Calibri"/>
          <w:b/>
          <w:color w:val="1F4E79"/>
          <w:sz w:val="24"/>
        </w:rPr>
        <w:t>PODPISOVÁ STRANA</w:t>
      </w:r>
    </w:p>
    <w:p>
      <w:pPr>
        <w:spacing w:after="240"/>
        <w:jc w:val="center"/>
      </w:pPr>
      <w:r>
        <w:rPr>
          <w:rFonts w:ascii="Calibri" w:hAnsi="Calibri"/>
          <w:b w:val="0"/>
          <w:color w:val="1F1F1F"/>
          <w:sz w:val="18"/>
        </w:rPr>
        <w:t>Zmluva o dodaní, implementácii a prevádzke informačného systému ERP, webu a e-shopu č. [DOPLNÍ SA]</w:t>
      </w:r>
    </w:p>
    <w:p>
      <w:pPr>
        <w:spacing w:before="0" w:after="60"/>
      </w:pPr>
      <w:r>
        <w:rPr>
          <w:rFonts w:ascii="Calibri" w:hAnsi="Calibri"/>
          <w:b/>
          <w:color w:val="1F1F1F"/>
          <w:sz w:val="19"/>
        </w:rPr>
        <w:t>Príloha:</w:t>
      </w:r>
    </w:p>
    <w:p>
      <w:pPr>
        <w:keepLines w:val="0"/>
        <w:spacing w:before="0" w:after="140" w:line="247" w:lineRule="auto"/>
        <w:jc w:val="both"/>
      </w:pPr>
      <w:r>
        <w:rPr>
          <w:rFonts w:ascii="Calibri" w:hAnsi="Calibri"/>
          <w:b w:val="0"/>
          <w:color w:val="1F1F1F"/>
          <w:sz w:val="19"/>
        </w:rPr>
        <w:t>Príloha č. 1 – Technická špecifikácia a cenová ponuka úspešného uchádzača</w:t>
      </w:r>
    </w:p>
    <w:tbl>
      <w:tblPr>
        <w:tblStyle w:val="TableGrid"/>
        <w:tblW w:type="dxa" w:w="9809"/>
        <w:jc w:val="center"/>
        <w:tblLayout w:type="fixed"/>
        <w:tblLook w:firstColumn="1" w:firstRow="1" w:lastColumn="0" w:lastRow="0" w:noHBand="0" w:noVBand="1" w:val="04A0"/>
      </w:tblPr>
      <w:tblGrid>
        <w:gridCol w:w="4904"/>
        <w:gridCol w:w="4904"/>
      </w:tblGrid>
      <w:tr>
        <w:trPr>
          <w:cantSplit/>
        </w:trPr>
        <w:tc>
          <w:tcPr>
            <w:tcW w:type="dxa" w:w="4904"/>
            <w:shd w:fill="1F4E79"/>
          </w:tcPr>
          <w:p>
            <w:pPr>
              <w:jc w:val="center"/>
            </w:pPr>
            <w:r>
              <w:rPr>
                <w:rFonts w:ascii="Calibri" w:hAnsi="Calibri"/>
                <w:b/>
                <w:color w:val="FFFFFF"/>
                <w:sz w:val="18"/>
              </w:rPr>
              <w:t>Za objednávateľa</w:t>
            </w:r>
          </w:p>
        </w:tc>
        <w:tc>
          <w:tcPr>
            <w:tcW w:type="dxa" w:w="4904"/>
            <w:shd w:fill="1F4E79"/>
          </w:tcPr>
          <w:p>
            <w:pPr>
              <w:jc w:val="center"/>
            </w:pPr>
            <w:r>
              <w:rPr>
                <w:rFonts w:ascii="Calibri" w:hAnsi="Calibri"/>
                <w:b/>
                <w:color w:val="FFFFFF"/>
                <w:sz w:val="18"/>
              </w:rPr>
              <w:t>Za dodávateľa</w:t>
            </w:r>
          </w:p>
        </w:tc>
      </w:tr>
      <w:tr>
        <w:trPr>
          <w:cantSplit/>
        </w:trPr>
        <w:tc>
          <w:tcPr>
            <w:tcW w:type="dxa" w:w="4904"/>
            <w:tcMar>
              <w:top w:w="100" w:type="dxa"/>
              <w:start w:w="120" w:type="dxa"/>
              <w:bottom w:w="100" w:type="dxa"/>
              <w:end w:w="120" w:type="dxa"/>
            </w:tcMar>
            <w:vAlign w:val="center"/>
          </w:tcPr>
          <w:p>
            <w:pPr>
              <w:spacing w:after="0"/>
              <w:jc w:val="center"/>
            </w:pPr>
            <w:r>
              <w:rPr>
                <w:rFonts w:ascii="Calibri" w:hAnsi="Calibri"/>
                <w:b w:val="0"/>
                <w:color w:val="1F1F1F"/>
                <w:sz w:val="18"/>
              </w:rPr>
              <w:br/>
              <w:br/>
              <w:t>........................................................</w:t>
            </w:r>
          </w:p>
        </w:tc>
        <w:tc>
          <w:tcPr>
            <w:tcW w:type="dxa" w:w="4904"/>
            <w:tcMar>
              <w:top w:w="100" w:type="dxa"/>
              <w:start w:w="120" w:type="dxa"/>
              <w:bottom w:w="100" w:type="dxa"/>
              <w:end w:w="120" w:type="dxa"/>
            </w:tcMar>
            <w:vAlign w:val="center"/>
          </w:tcPr>
          <w:p>
            <w:pPr>
              <w:spacing w:after="0"/>
              <w:jc w:val="center"/>
            </w:pPr>
            <w:r>
              <w:rPr>
                <w:rFonts w:ascii="Calibri" w:hAnsi="Calibri"/>
                <w:b w:val="0"/>
                <w:color w:val="1F1F1F"/>
                <w:sz w:val="18"/>
              </w:rPr>
              <w:br/>
              <w:br/>
              <w:t>........................................................</w:t>
            </w:r>
          </w:p>
        </w:tc>
      </w:tr>
      <w:tr>
        <w:trPr>
          <w:cantSplit/>
        </w:trPr>
        <w:tc>
          <w:tcPr>
            <w:tcW w:type="dxa" w:w="4904"/>
            <w:tcMar>
              <w:top w:w="100" w:type="dxa"/>
              <w:start w:w="120" w:type="dxa"/>
              <w:bottom w:w="100" w:type="dxa"/>
              <w:end w:w="120" w:type="dxa"/>
            </w:tcMar>
            <w:vAlign w:val="center"/>
          </w:tcPr>
          <w:p>
            <w:pPr>
              <w:spacing w:after="0"/>
              <w:jc w:val="center"/>
            </w:pPr>
            <w:r>
              <w:rPr>
                <w:rFonts w:ascii="Calibri" w:hAnsi="Calibri"/>
                <w:b w:val="0"/>
                <w:color w:val="1F1F1F"/>
                <w:sz w:val="18"/>
              </w:rPr>
              <w:t>Meno, funkcia, miesto a dátum: [DOPLNÍ SA]</w:t>
            </w:r>
          </w:p>
        </w:tc>
        <w:tc>
          <w:tcPr>
            <w:tcW w:type="dxa" w:w="4904"/>
            <w:tcMar>
              <w:top w:w="100" w:type="dxa"/>
              <w:start w:w="120" w:type="dxa"/>
              <w:bottom w:w="100" w:type="dxa"/>
              <w:end w:w="120" w:type="dxa"/>
            </w:tcMar>
            <w:vAlign w:val="center"/>
          </w:tcPr>
          <w:p>
            <w:pPr>
              <w:spacing w:after="0"/>
              <w:jc w:val="center"/>
            </w:pPr>
            <w:r>
              <w:rPr>
                <w:rFonts w:ascii="Calibri" w:hAnsi="Calibri"/>
                <w:b w:val="0"/>
                <w:color w:val="1F1F1F"/>
                <w:sz w:val="18"/>
              </w:rPr>
              <w:t>Meno, funkcia, miesto a dátum: [DOPLNÍ SA]</w:t>
            </w:r>
          </w:p>
        </w:tc>
      </w:tr>
    </w:tbl>
    <w:sectPr w:rsidR="00FC693F" w:rsidRPr="0006063C" w:rsidSect="00034616">
      <w:headerReference w:type="default" r:id="rId9"/>
      <w:footerReference w:type="default" r:id="rId10"/>
      <w:pgSz w:w="11906" w:h="16838"/>
      <w:pgMar w:top="992" w:right="1049" w:bottom="935" w:left="1049" w:header="454"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color w:val="646464"/>
        <w:sz w:val="17"/>
      </w:rPr>
      <w:t xml:space="preserve">Strana </w:t>
    </w:r>
    <w:r>
      <w:rPr>
        <w:rFonts w:ascii="Calibri" w:hAnsi="Calibri"/>
        <w:b w:val="0"/>
        <w:color w:val="646464"/>
        <w:sz w:val="17"/>
      </w:rPr>
      <w:fldChar w:fldCharType="begin"/>
      <w:instrText xml:space="preserve">PAGE</w:instrText>
      <w:fldChar w:fldCharType="separate"/>
      <w:t>1</w:t>
      <w:fldChar w:fldCharType="end"/>
    </w:r>
    <w:r>
      <w:rPr>
        <w:rFonts w:ascii="Calibri" w:hAnsi="Calibri"/>
        <w:b w:val="0"/>
        <w:color w:val="646464"/>
        <w:sz w:val="17"/>
      </w:rPr>
      <w:t xml:space="preserve"> z </w:t>
    </w:r>
    <w:r>
      <w:rPr>
        <w:rFonts w:ascii="Calibri" w:hAnsi="Calibri"/>
        <w:b w:val="0"/>
        <w:color w:val="646464"/>
        <w:sz w:val="17"/>
      </w:rPr>
      <w:fldChar w:fldCharType="begin"/>
      <w:instrText xml:space="preserve">NUMPAGES</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46464"/>
        <w:sz w:val="16"/>
      </w:rPr>
      <w:t>PRÍLOHA Č. 2 – NÁVRH ZMLUVY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90" w:line="247" w:lineRule="auto"/>
    </w:pPr>
    <w:rPr>
      <w:rFonts w:ascii="Calibri" w:hAnsi="Calibri"/>
      <w:color w:val="1F1F1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80"/>
      <w:outlineLvl w:val="0"/>
    </w:pPr>
    <w:rPr>
      <w:rFonts w:asciiTheme="majorHAnsi" w:eastAsiaTheme="majorEastAsia" w:hAnsiTheme="majorHAnsi" w:cstheme="majorBidi" w:ascii="Calibri" w:hAnsi="Calibri"/>
      <w:b/>
      <w:bCs/>
      <w:color w:val="1F4E79"/>
      <w:sz w:val="2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Skrátený návrh zmluvy – ERP, web a e-shop LIANA</dc:title>
  <dc:subject>Návrh na kontrolu agentúrou pred vyhlásením VO</dc:subject>
  <dc:creator>LIANA GOLIAŠ s.r.o.</dc:creator>
  <cp:keywords/>
  <dc:description>Skrátená verzia; technické požiadavky sú v Prílohe č. 1.</dc:description>
  <cp:lastModifiedBy/>
  <cp:revision>1</cp:revision>
  <dcterms:created xsi:type="dcterms:W3CDTF">2013-12-23T23:15:00Z</dcterms:created>
  <dcterms:modified xsi:type="dcterms:W3CDTF">2013-12-23T23:15:00Z</dcterms:modified>
  <cp:category/>
</cp:coreProperties>
</file>